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val="false"/>
          <w:bCs w:val="false"/>
          <w:i w:val="false"/>
          <w:iCs w:val="false"/>
        </w:rPr>
        <w:t xml:space="preserve">Klariti — User Guide</w:t>
      </w:r>
    </w:p>
    <w:p>
      <w:pPr>
        <w:spacing w:after="160"/>
      </w:pPr>
      <w:r>
        <w:rPr>
          <w:b/>
          <w:bCs/>
          <w:i w:val="false"/>
          <w:iCs w:val="false"/>
        </w:rPr>
        <w:t xml:space="preserve">Klariti</w:t>
      </w:r>
    </w:p>
    <w:p>
      <w:pPr>
        <w:spacing w:after="160"/>
      </w:pPr>
      <w:r>
        <w:rPr>
          <w:b w:val="false"/>
          <w:bCs w:val="false"/>
          <w:i w:val="false"/>
          <w:iCs w:val="false"/>
        </w:rPr>
        <w:t xml:space="preserve">Social Intelligence Portal</w:t>
      </w:r>
    </w:p>
    <w:p>
      <w:pPr>
        <w:spacing w:after="160"/>
      </w:pPr>
      <w:r>
        <w:rPr>
          <w:b w:val="false"/>
          <w:bCs w:val="false"/>
          <w:i w:val="false"/>
          <w:iCs w:val="false"/>
        </w:rPr>
        <w:t xml:space="preserve">by Convosphere</w:t>
      </w:r>
    </w:p>
    <w:p>
      <w:pPr>
        <w:spacing w:after="160"/>
      </w:pPr>
      <w:r>
        <w:rPr>
          <w:b w:val="false"/>
          <w:bCs w:val="false"/>
          <w:i w:val="false"/>
          <w:iCs w:val="false"/>
        </w:rPr>
        <w:t xml:space="preserve">User Guide</w:t>
      </w:r>
    </w:p>
    <w:p>
      <w:pPr>
        <w:spacing w:after="200"/>
      </w:pPr>
      <w:r>
        <w:rPr>
          <w:b w:val="false"/>
          <w:bCs w:val="false"/>
          <w:i/>
          <w:iCs/>
        </w:rPr>
        <w:t xml:space="preserve">A practical guide to turning social listening exports into stakeholder-ready intelligence — in minutes, not days.</w:t>
      </w:r>
    </w:p>
    <w:p>
      <w:pPr>
        <w:spacing w:after="160"/>
      </w:pPr>
      <w:r>
        <w:rPr>
          <w:b w:val="false"/>
          <w:bCs w:val="false"/>
          <w:i w:val="false"/>
          <w:iCs w:val="false"/>
        </w:rPr>
        <w:t xml:space="preserve">For client analysts and brand teams</w:t>
      </w:r>
    </w:p>
    <w:p>
      <w:pPr>
        <w:spacing w:after="160"/>
      </w:pPr>
      <w:r>
        <w:rPr>
          <w:b w:val="false"/>
          <w:bCs w:val="false"/>
          <w:i w:val="false"/>
          <w:iCs w:val="false"/>
        </w:rPr>
        <w:t xml:space="preserve">Updated 2 July 2026</w:t>
      </w:r>
    </w:p>
    <w:p>
      <w:pPr>
        <w:pStyle w:val="Heading1"/>
      </w:pPr>
      <w:r>
        <w:rPr>
          <w:b w:val="false"/>
          <w:bCs w:val="false"/>
          <w:i w:val="false"/>
          <w:iCs w:val="false"/>
        </w:rPr>
        <w:t xml:space="preserve">Contents</w:t>
      </w:r>
    </w:p>
    <w:p>
      <w:pPr>
        <w:pStyle w:val="Heading1"/>
      </w:pPr>
      <w:r>
        <w:rPr>
          <w:b w:val="false"/>
          <w:bCs w:val="false"/>
          <w:i w:val="false"/>
          <w:iCs w:val="false"/>
        </w:rPr>
        <w:t xml:space="preserve">1. Welcome to the Portal</w:t>
      </w:r>
    </w:p>
    <w:p>
      <w:pPr>
        <w:spacing w:after="160"/>
      </w:pPr>
      <w:r>
        <w:rPr>
          <w:b w:val="false"/>
          <w:bCs w:val="false"/>
          <w:i w:val="false"/>
          <w:iCs w:val="false"/>
        </w:rPr>
        <w:t xml:space="preserve">Klariti, Convosphere's Social Intelligence Portal, is where your team turns raw social-listening data into clear, decision-ready analysis. You bring the data — exports from tools like Talkwalker, ViralMoment, Brandwatch, or YouScan — and Klariti's AI analysis tools, tuned with Convosphere's methodology, produce the brief, digest, or report you need.</w:t>
      </w:r>
    </w:p>
    <w:p>
      <w:pPr>
        <w:spacing w:after="160"/>
      </w:pPr>
      <w:r>
        <w:rPr>
          <w:b/>
          <w:bCs/>
          <w:i w:val="false"/>
          <w:iCs w:val="false"/>
        </w:rPr>
        <w:t xml:space="preserve">What you can do here, in short: </w:t>
      </w:r>
      <w:r>
        <w:rPr>
          <w:b w:val="false"/>
          <w:bCs w:val="false"/>
          <w:i w:val="false"/>
          <w:iCs w:val="false"/>
        </w:rPr>
        <w:t xml:space="preserve">paste or upload a dataset, choose an analysis tool, and get a structured, stakeholder-ready output you can copy or download as a PowerPoint or PDF. You can also save datasets for reuse, store a brand strategy brief so every analysis is brand-aware, and request a fully bespoke report from the Convosphere team.</w:t>
      </w:r>
    </w:p>
    <w:p>
      <w:pPr>
        <w:pStyle w:val="Heading2"/>
      </w:pPr>
      <w:r>
        <w:rPr>
          <w:b w:val="false"/>
          <w:bCs w:val="false"/>
          <w:i w:val="false"/>
          <w:iCs w:val="false"/>
        </w:rPr>
        <w:t xml:space="preserve">Signing in</w:t>
      </w:r>
    </w:p>
    <w:p>
      <w:pPr>
        <w:spacing w:after="160"/>
      </w:pPr>
      <w:r>
        <w:rPr>
          <w:b w:val="false"/>
          <w:bCs w:val="false"/>
          <w:i w:val="false"/>
          <w:iCs w:val="false"/>
        </w:rPr>
        <w:t xml:space="preserve">Use the email and password provided to you. On first sign-in you'll be asked to accept the user agreement. If you forget your password or need access for a colleague, contact your portal administrator or use Email Portal Support in the sidebar.</w:t>
      </w:r>
    </w:p>
    <w:p>
      <w:pPr>
        <w:pStyle w:val="Heading2"/>
      </w:pPr>
      <w:r>
        <w:rPr>
          <w:b w:val="false"/>
          <w:bCs w:val="false"/>
          <w:i w:val="false"/>
          <w:iCs w:val="false"/>
        </w:rPr>
        <w:t xml:space="preserve">What you can see</w:t>
      </w:r>
    </w:p>
    <w:p>
      <w:pPr>
        <w:spacing w:after="160"/>
      </w:pPr>
      <w:r>
        <w:rPr>
          <w:b w:val="false"/>
          <w:bCs w:val="false"/>
          <w:i w:val="false"/>
          <w:iCs w:val="false"/>
        </w:rPr>
        <w:t xml:space="preserve">The portal is organised by your client workspace. You'll see the brands (and, if your team uses them, the departments) you've been given access to — and only those. Your administrator controls which brands and tools appear for you, so your view is tailored to your role.</w:t>
      </w:r>
    </w:p>
    <w:p>
      <w:pPr>
        <w:pStyle w:val="Heading1"/>
      </w:pPr>
      <w:r>
        <w:rPr>
          <w:b w:val="false"/>
          <w:bCs w:val="false"/>
          <w:i w:val="false"/>
          <w:iCs w:val="false"/>
        </w:rPr>
        <w:t xml:space="preserve">2. Finding Your Way Around</w:t>
      </w:r>
    </w:p>
    <w:p>
      <w:pPr>
        <w:spacing w:after="160"/>
      </w:pPr>
      <w:r>
        <w:rPr>
          <w:b w:val="false"/>
          <w:bCs w:val="false"/>
          <w:i w:val="false"/>
          <w:iCs w:val="false"/>
        </w:rPr>
        <w:t xml:space="preserve">Everything is reached from the left-hand sidebar, grouped into sections.</w:t>
      </w:r>
    </w:p>
    <w:p>
      <w:pPr>
        <w:pStyle w:val="Heading2"/>
      </w:pPr>
      <w:r>
        <w:rPr>
          <w:b w:val="false"/>
          <w:bCs w:val="false"/>
          <w:i w:val="false"/>
          <w:iCs w:val="false"/>
        </w:rPr>
        <w:t xml:space="preserve">Main</w:t>
      </w:r>
    </w:p>
    <w:p>
      <w:pPr>
        <w:pStyle w:val="ListParagraph"/>
        <w:numPr>
          <w:ilvl w:val="0"/>
          <w:numId w:val="2"/>
        </w:numPr>
      </w:pPr>
      <w:r>
        <w:rPr>
          <w:b/>
          <w:bCs/>
          <w:i w:val="false"/>
          <w:iCs w:val="false"/>
        </w:rPr>
        <w:t xml:space="preserve">Dashboard — </w:t>
      </w:r>
      <w:r>
        <w:rPr>
          <w:b w:val="false"/>
          <w:bCs w:val="false"/>
          <w:i w:val="false"/>
          <w:iCs w:val="false"/>
        </w:rPr>
        <w:t xml:space="preserve">your landing view: active brands, open alerts, recent analysis runs, and learning progress at a glance.</w:t>
      </w:r>
    </w:p>
    <w:p>
      <w:pPr>
        <w:pStyle w:val="ListParagraph"/>
        <w:numPr>
          <w:ilvl w:val="0"/>
          <w:numId w:val="2"/>
        </w:numPr>
      </w:pPr>
      <w:r>
        <w:rPr>
          <w:b/>
          <w:bCs/>
          <w:i w:val="false"/>
          <w:iCs w:val="false"/>
        </w:rPr>
        <w:t xml:space="preserve">Prompt library — </w:t>
      </w:r>
      <w:r>
        <w:rPr>
          <w:b w:val="false"/>
          <w:bCs w:val="false"/>
          <w:i w:val="false"/>
          <w:iCs w:val="false"/>
        </w:rPr>
        <w:t xml:space="preserve">the heart of the portal. Every analysis tool lives here. This is where you run an analysis.</w:t>
      </w:r>
    </w:p>
    <w:p>
      <w:pPr>
        <w:pStyle w:val="ListParagraph"/>
        <w:numPr>
          <w:ilvl w:val="0"/>
          <w:numId w:val="2"/>
        </w:numPr>
      </w:pPr>
      <w:r>
        <w:rPr>
          <w:b/>
          <w:bCs/>
          <w:i w:val="false"/>
          <w:iCs w:val="false"/>
        </w:rPr>
        <w:t xml:space="preserve">Alerts — </w:t>
      </w:r>
      <w:r>
        <w:rPr>
          <w:b w:val="false"/>
          <w:bCs w:val="false"/>
          <w:i w:val="false"/>
          <w:iCs w:val="false"/>
        </w:rPr>
        <w:t xml:space="preserve">signals flagged for attention.</w:t>
      </w:r>
    </w:p>
    <w:p>
      <w:pPr>
        <w:pStyle w:val="ListParagraph"/>
        <w:numPr>
          <w:ilvl w:val="0"/>
          <w:numId w:val="2"/>
        </w:numPr>
      </w:pPr>
      <w:r>
        <w:rPr>
          <w:b/>
          <w:bCs/>
          <w:i w:val="false"/>
          <w:iCs w:val="false"/>
        </w:rPr>
        <w:t xml:space="preserve">Reports — </w:t>
      </w:r>
      <w:r>
        <w:rPr>
          <w:b w:val="false"/>
          <w:bCs w:val="false"/>
          <w:i w:val="false"/>
          <w:iCs w:val="false"/>
        </w:rPr>
        <w:t xml:space="preserve">outputs you've generated and saved.</w:t>
      </w:r>
    </w:p>
    <w:p>
      <w:pPr>
        <w:pStyle w:val="ListParagraph"/>
        <w:numPr>
          <w:ilvl w:val="0"/>
          <w:numId w:val="2"/>
        </w:numPr>
      </w:pPr>
      <w:r>
        <w:rPr>
          <w:b/>
          <w:bCs/>
          <w:i w:val="false"/>
          <w:iCs w:val="false"/>
        </w:rPr>
        <w:t xml:space="preserve">Data library — </w:t>
      </w:r>
      <w:r>
        <w:rPr>
          <w:b w:val="false"/>
          <w:bCs w:val="false"/>
          <w:i w:val="false"/>
          <w:iCs w:val="false"/>
        </w:rPr>
        <w:t xml:space="preserve">saved datasets. Upload a dataset once and reuse it across many prompts without re-uploading.</w:t>
      </w:r>
    </w:p>
    <w:p>
      <w:pPr>
        <w:pStyle w:val="ListParagraph"/>
        <w:numPr>
          <w:ilvl w:val="0"/>
          <w:numId w:val="2"/>
        </w:numPr>
      </w:pPr>
      <w:r>
        <w:rPr>
          <w:b/>
          <w:bCs/>
          <w:i w:val="false"/>
          <w:iCs w:val="false"/>
        </w:rPr>
        <w:t xml:space="preserve">Strategy Brief Upload — </w:t>
      </w:r>
      <w:r>
        <w:rPr>
          <w:b w:val="false"/>
          <w:bCs w:val="false"/>
          <w:i w:val="false"/>
          <w:iCs w:val="false"/>
        </w:rPr>
        <w:t xml:space="preserve">store a brand's strategy document so the AI analyses every run with that brand's objectives, tone, audiences, and sensitivities in mind.</w:t>
      </w:r>
    </w:p>
    <w:p>
      <w:pPr>
        <w:pStyle w:val="ListParagraph"/>
        <w:numPr>
          <w:ilvl w:val="0"/>
          <w:numId w:val="2"/>
        </w:numPr>
      </w:pPr>
      <w:r>
        <w:rPr>
          <w:b/>
          <w:bCs/>
          <w:i w:val="false"/>
          <w:iCs w:val="false"/>
        </w:rPr>
        <w:t xml:space="preserve">Activity summary — </w:t>
      </w:r>
      <w:r>
        <w:rPr>
          <w:b w:val="false"/>
          <w:bCs w:val="false"/>
          <w:i w:val="false"/>
          <w:iCs w:val="false"/>
        </w:rPr>
        <w:t xml:space="preserve">a log of work done across the portal: prompts run, datasets saved, and reports generated.</w:t>
      </w:r>
    </w:p>
    <w:p>
      <w:pPr>
        <w:pStyle w:val="Heading2"/>
      </w:pPr>
      <w:r>
        <w:rPr>
          <w:b w:val="false"/>
          <w:bCs w:val="false"/>
          <w:i w:val="false"/>
          <w:iCs w:val="false"/>
        </w:rPr>
        <w:t xml:space="preserve">Brands &amp; Projects</w:t>
      </w:r>
    </w:p>
    <w:p>
      <w:pPr>
        <w:spacing w:after="160"/>
      </w:pPr>
      <w:r>
        <w:rPr>
          <w:b w:val="false"/>
          <w:bCs w:val="false"/>
          <w:i w:val="false"/>
          <w:iCs w:val="false"/>
        </w:rPr>
        <w:t xml:space="preserve">Use the Brands dropdown to set the brand you’re working on — this tailors the analysis context. Use the Projects dropdown to set the project scope. Projects group brand-agnostic or exploratory work (for example a category or cultural study not tied to a single brand). Selecting a project filters Reports and Data Library to show only content associated with that project.</w:t>
      </w:r>
    </w:p>
    <w:p>
      <w:pPr>
        <w:pStyle w:val="Heading2"/>
      </w:pPr>
      <w:r>
        <w:rPr>
          <w:b w:val="false"/>
          <w:bCs w:val="false"/>
          <w:i w:val="false"/>
          <w:iCs w:val="false"/>
        </w:rPr>
        <w:t xml:space="preserve">Learning</w:t>
      </w:r>
    </w:p>
    <w:p>
      <w:pPr>
        <w:pStyle w:val="ListParagraph"/>
        <w:numPr>
          <w:ilvl w:val="0"/>
          <w:numId w:val="2"/>
        </w:numPr>
      </w:pPr>
      <w:r>
        <w:rPr>
          <w:b/>
          <w:bCs/>
          <w:i w:val="false"/>
          <w:iCs w:val="false"/>
        </w:rPr>
        <w:t xml:space="preserve">Training modules — </w:t>
      </w:r>
      <w:r>
        <w:rPr>
          <w:b w:val="false"/>
          <w:bCs w:val="false"/>
          <w:i w:val="false"/>
          <w:iCs w:val="false"/>
        </w:rPr>
        <w:t xml:space="preserve">short lessons on getting the most from the portal.</w:t>
      </w:r>
    </w:p>
    <w:p>
      <w:pPr>
        <w:pStyle w:val="ListParagraph"/>
        <w:numPr>
          <w:ilvl w:val="0"/>
          <w:numId w:val="2"/>
        </w:numPr>
      </w:pPr>
      <w:r>
        <w:rPr>
          <w:b/>
          <w:bCs/>
          <w:i w:val="false"/>
          <w:iCs w:val="false"/>
        </w:rPr>
        <w:t xml:space="preserve">Certification — </w:t>
      </w:r>
      <w:r>
        <w:rPr>
          <w:b w:val="false"/>
          <w:bCs w:val="false"/>
          <w:i w:val="false"/>
          <w:iCs w:val="false"/>
        </w:rPr>
        <w:t xml:space="preserve">unlocks once you complete the training modules.</w:t>
      </w:r>
    </w:p>
    <w:p>
      <w:pPr>
        <w:pStyle w:val="Heading2"/>
      </w:pPr>
      <w:r>
        <w:rPr>
          <w:b w:val="false"/>
          <w:bCs w:val="false"/>
          <w:i w:val="false"/>
          <w:iCs w:val="false"/>
        </w:rPr>
        <w:t xml:space="preserve">Convosphere</w:t>
      </w:r>
    </w:p>
    <w:p>
      <w:pPr>
        <w:spacing w:after="160"/>
      </w:pPr>
      <w:r>
        <w:rPr>
          <w:b w:val="false"/>
          <w:bCs w:val="false"/>
          <w:i w:val="false"/>
          <w:iCs w:val="false"/>
        </w:rPr>
        <w:t xml:space="preserve">This section connects you to the Convosphere team and account tools: Request a report (commission a bespoke analysis), Submitted briefs (track those requests), Usage &amp; cost, and Email Portal Support. Some items in this section are visible only to administrators.</w:t>
      </w:r>
    </w:p>
    <w:p>
      <w:pPr>
        <w:pStyle w:val="Heading2"/>
      </w:pPr>
      <w:r>
        <w:rPr>
          <w:b w:val="false"/>
          <w:bCs w:val="false"/>
          <w:i w:val="false"/>
          <w:iCs w:val="false"/>
        </w:rPr>
        <w:t xml:space="preserve">For administrators</w:t>
      </w:r>
    </w:p>
    <w:p>
      <w:pPr>
        <w:spacing w:after="160"/>
      </w:pPr>
      <w:r>
        <w:rPr>
          <w:b w:val="false"/>
          <w:bCs w:val="false"/>
          <w:i w:val="false"/>
          <w:iCs w:val="false"/>
        </w:rPr>
        <w:t xml:space="preserve">Administrators can manage users, departments, and role-based prompt access from Settings → Users &amp; department access. Each user’s most recent sign-in is shown there (“Last login: &lt;date&gt;”, or “Never logged in” for users who haven’t signed in yet) — useful for spotting accounts that need a nudge or a password reset.</w:t>
      </w:r>
    </w:p>
    <w:p>
      <w:pPr>
        <w:pStyle w:val="Heading1"/>
      </w:pPr>
      <w:r>
        <w:rPr>
          <w:b w:val="false"/>
          <w:bCs w:val="false"/>
          <w:i w:val="false"/>
          <w:iCs w:val="false"/>
        </w:rPr>
        <w:t xml:space="preserve">3. Running Your First Analysis</w:t>
      </w:r>
    </w:p>
    <w:p>
      <w:pPr>
        <w:spacing w:after="160"/>
      </w:pPr>
      <w:r>
        <w:rPr>
          <w:b w:val="false"/>
          <w:bCs w:val="false"/>
          <w:i w:val="false"/>
          <w:iCs w:val="false"/>
        </w:rPr>
        <w:t xml:space="preserve">The core workflow is the same for every tool. From the Prompt library:</w:t>
      </w:r>
    </w:p>
    <w:p>
      <w:pPr>
        <w:pStyle w:val="ListParagraph"/>
        <w:numPr>
          <w:ilvl w:val="0"/>
          <w:numId w:val="2"/>
        </w:numPr>
      </w:pPr>
      <w:r>
        <w:rPr>
          <w:b/>
          <w:bCs/>
          <w:i w:val="false"/>
          <w:iCs w:val="false"/>
        </w:rPr>
        <w:t xml:space="preserve">Pick a tool. </w:t>
      </w:r>
      <w:r>
        <w:rPr>
          <w:b w:val="false"/>
          <w:bCs w:val="false"/>
          <w:i w:val="false"/>
          <w:iCs w:val="false"/>
        </w:rPr>
        <w:t xml:space="preserve">Each card describes what it produces. (Section 4 lists them all.)</w:t>
      </w:r>
    </w:p>
    <w:p>
      <w:pPr>
        <w:pStyle w:val="ListParagraph"/>
        <w:numPr>
          <w:ilvl w:val="0"/>
          <w:numId w:val="2"/>
        </w:numPr>
      </w:pPr>
      <w:r>
        <w:rPr>
          <w:b/>
          <w:bCs/>
          <w:i w:val="false"/>
          <w:iCs w:val="false"/>
        </w:rPr>
        <w:t xml:space="preserve">Set your context. </w:t>
      </w:r>
      <w:r>
        <w:rPr>
          <w:b w:val="false"/>
          <w:bCs w:val="false"/>
          <w:i w:val="false"/>
          <w:iCs w:val="false"/>
        </w:rPr>
        <w:t xml:space="preserve">Choose the brand and the time window (e.g. Last 7 days, Last 30 days). Some tools ask for an extra detail — a competitor name, a campaign name, or a market.</w:t>
      </w:r>
    </w:p>
    <w:p>
      <w:pPr>
        <w:pStyle w:val="ListParagraph"/>
        <w:numPr>
          <w:ilvl w:val="0"/>
          <w:numId w:val="2"/>
        </w:numPr>
      </w:pPr>
      <w:r>
        <w:rPr>
          <w:b/>
          <w:bCs/>
          <w:i w:val="false"/>
          <w:iCs w:val="false"/>
        </w:rPr>
        <w:t xml:space="preserve">Add your data. </w:t>
      </w:r>
      <w:r>
        <w:rPr>
          <w:b w:val="false"/>
          <w:bCs w:val="false"/>
          <w:i w:val="false"/>
          <w:iCs w:val="false"/>
        </w:rPr>
        <w:t xml:space="preserve">Toggle between Paste data and Upload file. Paste raw export text, or upload a CSV/XLSX. You can also pull in a saved dataset from your Data library. Richer tools (like Report builder) let you combine up to three data sources.</w:t>
      </w:r>
    </w:p>
    <w:p>
      <w:pPr>
        <w:pStyle w:val="ListParagraph"/>
        <w:numPr>
          <w:ilvl w:val="0"/>
          <w:numId w:val="2"/>
        </w:numPr>
      </w:pPr>
      <w:r>
        <w:rPr>
          <w:b/>
          <w:bCs/>
          <w:i w:val="false"/>
          <w:iCs w:val="false"/>
        </w:rPr>
        <w:t xml:space="preserve">Run it. </w:t>
      </w:r>
      <w:r>
        <w:rPr>
          <w:b w:val="false"/>
          <w:bCs w:val="false"/>
          <w:i w:val="false"/>
          <w:iCs w:val="false"/>
        </w:rPr>
        <w:t xml:space="preserve">The portal sends your data to the analysis model and returns a structured output, usually in well under a minute.</w:t>
      </w:r>
    </w:p>
    <w:p>
      <w:pPr>
        <w:pStyle w:val="ListParagraph"/>
        <w:numPr>
          <w:ilvl w:val="0"/>
          <w:numId w:val="2"/>
        </w:numPr>
      </w:pPr>
      <w:r>
        <w:rPr>
          <w:b/>
          <w:bCs/>
          <w:i w:val="false"/>
          <w:iCs w:val="false"/>
        </w:rPr>
        <w:t xml:space="preserve">Use the output. </w:t>
      </w:r>
      <w:r>
        <w:rPr>
          <w:b w:val="false"/>
          <w:bCs w:val="false"/>
          <w:i w:val="false"/>
          <w:iCs w:val="false"/>
        </w:rPr>
        <w:t xml:space="preserve">Copy it, or download it as a PowerPoint (PPTX) or PDF. Where charts are produced, you can download those too, and you can export the underlying source data as CSV.</w:t>
      </w:r>
    </w:p>
    <w:p>
      <w:pPr>
        <w:pStyle w:val="Heading2"/>
      </w:pPr>
      <w:r>
        <w:rPr>
          <w:b w:val="false"/>
          <w:bCs w:val="false"/>
          <w:i w:val="false"/>
          <w:iCs w:val="false"/>
        </w:rPr>
        <w:t xml:space="preserve">A note on how the analysis works</w:t>
      </w:r>
    </w:p>
    <w:p>
      <w:pPr>
        <w:spacing w:after="160"/>
      </w:pPr>
      <w:r>
        <w:rPr>
          <w:b w:val="false"/>
          <w:bCs w:val="false"/>
          <w:i w:val="false"/>
          <w:iCs w:val="false"/>
        </w:rPr>
        <w:t xml:space="preserve">Every analysis is </w:t>
      </w:r>
      <w:r>
        <w:rPr>
          <w:b/>
          <w:bCs/>
          <w:i w:val="false"/>
          <w:iCs w:val="false"/>
        </w:rPr>
        <w:t xml:space="preserve">grounded in the data you provide</w:t>
      </w:r>
      <w:r>
        <w:rPr>
          <w:b w:val="false"/>
          <w:bCs w:val="false"/>
          <w:i w:val="false"/>
          <w:iCs w:val="false"/>
        </w:rPr>
        <w:t xml:space="preserve">. The models are instructed to base findings only on your dataset — not on outside knowledge or assumptions — and to say so plainly when the data doesn't support a conclusion, rather than guessing. This keeps outputs defensible: every concrete claim traces back to the data you supplied.</w:t>
      </w:r>
    </w:p>
    <w:p>
      <w:pPr>
        <w:pStyle w:val="Heading2"/>
      </w:pPr>
      <w:r>
        <w:rPr>
          <w:b w:val="false"/>
          <w:bCs w:val="false"/>
          <w:i w:val="false"/>
          <w:iCs w:val="false"/>
        </w:rPr>
        <w:t xml:space="preserve">Saving data for reuse</w:t>
      </w:r>
    </w:p>
    <w:p>
      <w:pPr>
        <w:spacing w:after="160"/>
      </w:pPr>
      <w:r>
        <w:rPr>
          <w:b w:val="false"/>
          <w:bCs w:val="false"/>
          <w:i w:val="false"/>
          <w:iCs w:val="false"/>
        </w:rPr>
        <w:t xml:space="preserve">If you'll run several tools over the same dataset, save it to the Data library first. Saved datasets are available to every prompt without re-uploading — useful for a week's export you want to digest, theme, and summarise in turn.</w:t>
      </w:r>
    </w:p>
    <w:p>
      <w:pPr>
        <w:pStyle w:val="Heading1"/>
      </w:pPr>
      <w:r>
        <w:rPr>
          <w:b w:val="false"/>
          <w:bCs w:val="false"/>
          <w:i w:val="false"/>
          <w:iCs w:val="false"/>
        </w:rPr>
        <w:t xml:space="preserve">4. The Analysis Tools</w:t>
      </w:r>
    </w:p>
    <w:p>
      <w:pPr>
        <w:spacing w:after="160"/>
      </w:pPr>
      <w:r>
        <w:rPr>
          <w:b w:val="false"/>
          <w:bCs w:val="false"/>
          <w:i w:val="false"/>
          <w:iCs w:val="false"/>
        </w:rPr>
        <w:t xml:space="preserve">The Prompt library is organised so you can start fast. The data-cleansing step comes first; the analysis tools follow.</w:t>
      </w:r>
    </w:p>
    <w:p>
      <w:pPr>
        <w:pStyle w:val="Heading2"/>
      </w:pPr>
      <w:r>
        <w:rPr>
          <w:b w:val="false"/>
          <w:bCs w:val="false"/>
          <w:i w:val="false"/>
          <w:iCs w:val="false"/>
        </w:rPr>
        <w:t xml:space="preserve">Start here: Data quality &amp; noise filter</w:t>
      </w:r>
    </w:p>
    <w:p>
      <w:pPr>
        <w:spacing w:after="160"/>
      </w:pPr>
      <w:r>
        <w:rPr>
          <w:b w:val="false"/>
          <w:bCs w:val="false"/>
          <w:i w:val="false"/>
          <w:iCs w:val="false"/>
        </w:rPr>
        <w:t xml:space="preserve">Run this first on a fresh export. It identifies and removes noise — name collisions, off-topic content, spam, political context — and returns a clean dataset ready for the analysis tools. Cleaner input means sharper output.</w:t>
      </w:r>
    </w:p>
    <w:p>
      <w:pPr>
        <w:pStyle w:val="Heading3"/>
      </w:pPr>
      <w:r>
        <w:rPr>
          <w:b w:val="false"/>
          <w:bCs w:val="false"/>
          <w:i w:val="false"/>
          <w:iCs w:val="false"/>
        </w:rPr>
        <w:t xml:space="preserve">How the cleaning step works</w:t>
      </w:r>
    </w:p>
    <w:p>
      <w:pPr>
        <w:spacing w:after="160"/>
      </w:pPr>
      <w:r>
        <w:rPr>
          <w:b w:val="false"/>
          <w:bCs w:val="false"/>
          <w:i w:val="false"/>
          <w:iCs w:val="false"/>
        </w:rPr>
        <w:t xml:space="preserve">Upload your export and run the tool. Klariti produces a data-quality report — which files are clean, which are noisy, what the noise is, and roughly how much — and beneath it a </w:t>
      </w:r>
      <w:r>
        <w:rPr>
          <w:b/>
          <w:bCs/>
          <w:i w:val="false"/>
          <w:iCs w:val="false"/>
        </w:rPr>
        <w:t xml:space="preserve">Review </w:t>
      </w:r>
      <w:r>
        <w:rPr>
          <w:b/>
          <w:bCs/>
          <w:i w:val="false"/>
          <w:iCs w:val="false"/>
        </w:rPr>
        <w:t xml:space="preserve">&amp;</w:t>
      </w:r>
      <w:r>
        <w:rPr>
          <w:b/>
          <w:bCs/>
          <w:i w:val="false"/>
          <w:iCs w:val="false"/>
        </w:rPr>
        <w:t xml:space="preserve"> apply exclusions</w:t>
      </w:r>
      <w:r>
        <w:rPr>
          <w:b w:val="false"/>
          <w:bCs w:val="false"/>
          <w:i w:val="false"/>
          <w:iCs w:val="false"/>
        </w:rPr>
        <w:t xml:space="preserve"> panel with a checklist of proposed rules. Every rule is ticked by default; untick any you don’t want. Click </w:t>
      </w:r>
      <w:r>
        <w:rPr>
          <w:b/>
          <w:bCs/>
          <w:i w:val="false"/>
          <w:iCs w:val="false"/>
        </w:rPr>
        <w:t xml:space="preserve">Apply </w:t>
      </w:r>
      <w:r>
        <w:rPr>
          <w:b/>
          <w:bCs/>
          <w:i w:val="false"/>
          <w:iCs w:val="false"/>
        </w:rPr>
        <w:t xml:space="preserve">&amp;</w:t>
      </w:r>
      <w:r>
        <w:rPr>
          <w:b/>
          <w:bCs/>
          <w:i w:val="false"/>
          <w:iCs w:val="false"/>
        </w:rPr>
        <w:t xml:space="preserve"> preview</w:t>
      </w:r>
      <w:r>
        <w:rPr>
          <w:b w:val="false"/>
          <w:bCs w:val="false"/>
          <w:i w:val="false"/>
          <w:iCs w:val="false"/>
        </w:rPr>
        <w:t xml:space="preserve"> to run the rules against your data — you’ll see how many rows were kept versus removed, and a breakdown of how many each rule caught. Then download the cleaned CSV, use it directly in the next prompt, or add it to your Data library.</w:t>
      </w:r>
    </w:p>
    <w:p>
      <w:pPr>
        <w:pStyle w:val="Heading3"/>
      </w:pPr>
      <w:r>
        <w:rPr>
          <w:b w:val="false"/>
          <w:bCs w:val="false"/>
          <w:i w:val="false"/>
          <w:iCs w:val="false"/>
        </w:rPr>
        <w:t xml:space="preserve">Understanding the exclusion rules</w:t>
      </w:r>
    </w:p>
    <w:p>
      <w:pPr>
        <w:spacing w:after="160"/>
      </w:pPr>
      <w:r>
        <w:rPr>
          <w:b w:val="false"/>
          <w:bCs w:val="false"/>
          <w:i w:val="false"/>
          <w:iCs w:val="false"/>
        </w:rPr>
        <w:t xml:space="preserve">Each rule shows a plain-English label and the terms it matches. The way the terms are written tells you how the rule works:</w:t>
      </w:r>
    </w:p>
    <w:p>
      <w:pPr>
        <w:pStyle w:val="ListParagraph"/>
        <w:numPr>
          <w:ilvl w:val="0"/>
          <w:numId w:val="2"/>
        </w:numPr>
      </w:pPr>
      <w:r>
        <w:rPr>
          <w:b/>
          <w:bCs/>
          <w:i w:val="false"/>
          <w:iCs w:val="false"/>
        </w:rPr>
        <w:t xml:space="preserve">A single term </w:t>
      </w:r>
      <w:r>
        <w:rPr>
          <w:b w:val="false"/>
          <w:bCs w:val="false"/>
          <w:i w:val="false"/>
          <w:iCs w:val="false"/>
        </w:rPr>
        <w:t xml:space="preserve">(for example </w:t>
      </w:r>
      <w:r>
        <w:rPr>
          <w:b w:val="false"/>
          <w:bCs w:val="false"/>
          <w:i/>
          <w:iCs/>
        </w:rPr>
        <w:t xml:space="preserve">for sale</w:t>
      </w:r>
      <w:r>
        <w:rPr>
          <w:b w:val="false"/>
          <w:bCs w:val="false"/>
          <w:i w:val="false"/>
          <w:iCs w:val="false"/>
        </w:rPr>
        <w:t xml:space="preserve">) removes any row containing that word or phrase.</w:t>
      </w:r>
    </w:p>
    <w:p>
      <w:pPr>
        <w:pStyle w:val="ListParagraph"/>
        <w:numPr>
          <w:ilvl w:val="0"/>
          <w:numId w:val="2"/>
        </w:numPr>
      </w:pPr>
      <w:r>
        <w:rPr>
          <w:b/>
          <w:bCs/>
          <w:i w:val="false"/>
          <w:iCs w:val="false"/>
        </w:rPr>
        <w:t xml:space="preserve">Two terms joined by “+” </w:t>
      </w:r>
      <w:r>
        <w:rPr>
          <w:b w:val="false"/>
          <w:bCs w:val="false"/>
          <w:i w:val="false"/>
          <w:iCs w:val="false"/>
        </w:rPr>
        <w:t xml:space="preserve">(for example </w:t>
      </w:r>
      <w:r>
        <w:rPr>
          <w:b w:val="false"/>
          <w:bCs w:val="false"/>
          <w:i/>
          <w:iCs/>
        </w:rPr>
        <w:t xml:space="preserve">barbie + olandria</w:t>
      </w:r>
      <w:r>
        <w:rPr>
          <w:b w:val="false"/>
          <w:bCs w:val="false"/>
          <w:i w:val="false"/>
          <w:iCs w:val="false"/>
        </w:rPr>
        <w:t xml:space="preserve">) remove a row only when it contains both. This is how a broad word is targeted safely — it’s removed only when it sits next to the noise marker, so genuine brand mentions are kept.</w:t>
      </w:r>
    </w:p>
    <w:p>
      <w:pPr>
        <w:pStyle w:val="ListParagraph"/>
        <w:numPr>
          <w:ilvl w:val="0"/>
          <w:numId w:val="2"/>
        </w:numPr>
      </w:pPr>
      <w:r>
        <w:rPr>
          <w:b/>
          <w:bCs/>
          <w:i w:val="false"/>
          <w:iCs w:val="false"/>
        </w:rPr>
        <w:t xml:space="preserve">Terms separated by “/” </w:t>
      </w:r>
      <w:r>
        <w:rPr>
          <w:b w:val="false"/>
          <w:bCs w:val="false"/>
          <w:i w:val="false"/>
          <w:iCs w:val="false"/>
        </w:rPr>
        <w:t xml:space="preserve">(for example </w:t>
      </w:r>
      <w:r>
        <w:rPr>
          <w:b w:val="false"/>
          <w:bCs w:val="false"/>
          <w:i/>
          <w:iCs/>
        </w:rPr>
        <w:t xml:space="preserve">#jcb / #jcbtoy</w:t>
      </w:r>
      <w:r>
        <w:rPr>
          <w:b w:val="false"/>
          <w:bCs w:val="false"/>
          <w:i w:val="false"/>
          <w:iCs w:val="false"/>
        </w:rPr>
        <w:t xml:space="preserve">) remove a row containing any one of them — used for clusters of off-brand hashtags or authors.</w:t>
      </w:r>
    </w:p>
    <w:p>
      <w:pPr>
        <w:pStyle w:val="ListParagraph"/>
        <w:numPr>
          <w:ilvl w:val="0"/>
          <w:numId w:val="2"/>
        </w:numPr>
      </w:pPr>
      <w:r>
        <w:rPr>
          <w:b/>
          <w:bCs/>
          <w:i w:val="false"/>
          <w:iCs w:val="false"/>
        </w:rPr>
        <w:t xml:space="preserve">A term with a language tag </w:t>
      </w:r>
      <w:r>
        <w:rPr>
          <w:b w:val="false"/>
          <w:bCs w:val="false"/>
          <w:i w:val="false"/>
          <w:iCs w:val="false"/>
        </w:rPr>
        <w:t xml:space="preserve">(for example </w:t>
      </w:r>
      <w:r>
        <w:rPr>
          <w:b w:val="false"/>
          <w:bCs w:val="false"/>
          <w:i/>
          <w:iCs/>
        </w:rPr>
        <w:t xml:space="preserve">barbie [sv]</w:t>
      </w:r>
      <w:r>
        <w:rPr>
          <w:b w:val="false"/>
          <w:bCs w:val="false"/>
          <w:i w:val="false"/>
          <w:iCs w:val="false"/>
        </w:rPr>
        <w:t xml:space="preserve">) removes rows containing that term only when the post is in that language — here Swedish. Posts in your study language are left untouched.</w:t>
      </w:r>
    </w:p>
    <w:p>
      <w:pPr>
        <w:pStyle w:val="Heading3"/>
      </w:pPr>
      <w:r>
        <w:rPr>
          <w:b w:val="false"/>
          <w:bCs w:val="false"/>
          <w:i w:val="false"/>
          <w:iCs w:val="false"/>
        </w:rPr>
        <w:t xml:space="preserve">Refining the rules with a follow-up</w:t>
      </w:r>
    </w:p>
    <w:p>
      <w:pPr>
        <w:spacing w:after="160"/>
      </w:pPr>
      <w:r>
        <w:rPr>
          <w:b w:val="false"/>
          <w:bCs w:val="false"/>
          <w:i w:val="false"/>
          <w:iCs w:val="false"/>
        </w:rPr>
        <w:t xml:space="preserve">If the first pass misses something, you don’t have to start over. Type a follow-up in the </w:t>
      </w:r>
      <w:r>
        <w:rPr>
          <w:b/>
          <w:bCs/>
          <w:i w:val="false"/>
          <w:iCs w:val="false"/>
        </w:rPr>
        <w:t xml:space="preserve">Ask a follow-up</w:t>
      </w:r>
      <w:r>
        <w:rPr>
          <w:b w:val="false"/>
          <w:bCs w:val="false"/>
          <w:i w:val="false"/>
          <w:iCs w:val="false"/>
        </w:rPr>
        <w:t xml:space="preserve"> box describing the noise you still see — name the exact terms, hashtags, languages, or clusters — and Klariti generates an updated set of rules. The more specific you are, the better the rules.</w:t>
      </w:r>
    </w:p>
    <w:p>
      <w:pPr>
        <w:spacing w:after="160"/>
      </w:pPr>
      <w:r>
        <w:rPr>
          <w:b w:val="false"/>
          <w:bCs w:val="false"/>
          <w:i w:val="false"/>
          <w:iCs w:val="false"/>
        </w:rPr>
        <w:t xml:space="preserve">If you’ve already applied a set of rules when you do this, Klariti won’t discard your current result. A </w:t>
      </w:r>
      <w:r>
        <w:rPr>
          <w:b/>
          <w:bCs/>
          <w:i w:val="false"/>
          <w:iCs w:val="false"/>
        </w:rPr>
        <w:t xml:space="preserve">Load updated rules</w:t>
      </w:r>
      <w:r>
        <w:rPr>
          <w:b w:val="false"/>
          <w:bCs w:val="false"/>
          <w:i w:val="false"/>
          <w:iCs w:val="false"/>
        </w:rPr>
        <w:t xml:space="preserve"> banner appears instead. Click it to load the newer rules into the checklist, then click Apply &amp; preview again to recalculate. This keeps what’s on screen and what you download in step.</w:t>
      </w:r>
    </w:p>
    <w:p>
      <w:pPr>
        <w:spacing w:after="160"/>
      </w:pPr>
      <w:r>
        <w:rPr>
          <w:b/>
          <w:bCs/>
          <w:i w:val="false"/>
          <w:iCs w:val="false"/>
        </w:rPr>
        <w:t xml:space="preserve">The golden rule: always click Apply </w:t>
      </w:r>
      <w:r>
        <w:rPr>
          <w:b/>
          <w:bCs/>
          <w:i w:val="false"/>
          <w:iCs w:val="false"/>
        </w:rPr>
        <w:t xml:space="preserve">&amp;</w:t>
      </w:r>
      <w:r>
        <w:rPr>
          <w:b/>
          <w:bCs/>
          <w:i w:val="false"/>
          <w:iCs w:val="false"/>
        </w:rPr>
        <w:t xml:space="preserve"> preview, then download. </w:t>
      </w:r>
      <w:r>
        <w:rPr>
          <w:b w:val="false"/>
          <w:bCs w:val="false"/>
          <w:i w:val="false"/>
          <w:iCs w:val="false"/>
        </w:rPr>
        <w:t xml:space="preserve">The downloadable file always matches the rules currently applied — so if you change the rules, apply again before downloading.</w:t>
      </w:r>
    </w:p>
    <w:p>
      <w:pPr>
        <w:spacing w:after="160"/>
      </w:pPr>
      <w:r>
        <w:rPr>
          <w:b/>
          <w:bCs/>
          <w:i w:val="false"/>
          <w:iCs w:val="false"/>
        </w:rPr>
        <w:t xml:space="preserve">Reading the numbers. </w:t>
      </w:r>
      <w:r>
        <w:rPr>
          <w:b w:val="false"/>
          <w:bCs w:val="false"/>
          <w:i w:val="false"/>
          <w:iCs w:val="false"/>
        </w:rPr>
        <w:t xml:space="preserve">A low “removed” percentage isn’t a problem in itself. If most of your data is genuinely on-brand and the noise sits in one small file, even a perfect clean removes only a small share. Judge success by the breakdown — are the clusters you cared about actually being caught? — not by the headline percentage.</w:t>
      </w:r>
    </w:p>
    <w:p>
      <w:pPr>
        <w:pStyle w:val="Heading2"/>
      </w:pPr>
      <w:r>
        <w:rPr>
          <w:b w:val="false"/>
          <w:bCs w:val="false"/>
          <w:i w:val="false"/>
          <w:iCs w:val="false"/>
        </w:rPr>
        <w:t xml:space="preserve">Quick analyses (single dataset)</w:t>
      </w:r>
    </w:p>
    <w:p>
      <w:r>
        <w:rPr>
          <w:rFonts w:ascii="Courier New" w:cs="Courier New" w:eastAsia="Courier New" w:hAnsi="Courier New"/>
          <w:sz w:val="18"/>
          <w:szCs w:val="18"/>
        </w:rPr>
        <w:t xml:space="preserve">| **Tool** | **What it does** |</w:t>
      </w:r>
    </w:p>
    <w:p>
      <w:r>
        <w:rPr>
          <w:rFonts w:ascii="Courier New" w:cs="Courier New" w:eastAsia="Courier New" w:hAnsi="Courier New"/>
          <w:sz w:val="18"/>
          <w:szCs w:val="18"/>
        </w:rPr>
        <w:t xml:space="preserve">| --- | --- |</w:t>
      </w:r>
    </w:p>
    <w:p>
      <w:r>
        <w:rPr>
          <w:rFonts w:ascii="Courier New" w:cs="Courier New" w:eastAsia="Courier New" w:hAnsi="Courier New"/>
          <w:sz w:val="18"/>
          <w:szCs w:val="18"/>
        </w:rPr>
        <w:t xml:space="preserve">| **Triage** | Rapidly classifies an incoming signal by urgency and category. Use when an alert fires and you need to know fast whether it requires action. |</w:t>
      </w:r>
    </w:p>
    <w:p>
      <w:r>
        <w:rPr>
          <w:rFonts w:ascii="Courier New" w:cs="Courier New" w:eastAsia="Courier New" w:hAnsi="Courier New"/>
          <w:sz w:val="18"/>
          <w:szCs w:val="18"/>
        </w:rPr>
        <w:t xml:space="preserve">| **Audience sentiment** | Deep-dives into who is talking about a brand, what they feel, and why — beyond the score to the emotional drivers. |</w:t>
      </w:r>
    </w:p>
    <w:p>
      <w:r>
        <w:rPr>
          <w:rFonts w:ascii="Courier New" w:cs="Courier New" w:eastAsia="Courier New" w:hAnsi="Courier New"/>
          <w:sz w:val="18"/>
          <w:szCs w:val="18"/>
        </w:rPr>
        <w:t xml:space="preserve">| **Trend early warning** | Surfaces emerging signals before they spike. Identifies low-volume, high-velocity conversations likely to grow. |</w:t>
      </w:r>
    </w:p>
    <w:p>
      <w:r>
        <w:rPr>
          <w:rFonts w:ascii="Courier New" w:cs="Courier New" w:eastAsia="Courier New" w:hAnsi="Courier New"/>
          <w:sz w:val="18"/>
          <w:szCs w:val="18"/>
        </w:rPr>
        <w:t xml:space="preserve">| **Escalation memo** | A CMO-ready memo for when a signal needs urgent senior attention: situation, risk, evidence, recommended action. |</w:t>
      </w:r>
    </w:p>
    <w:p>
      <w:pPr>
        <w:pStyle w:val="Heading2"/>
      </w:pPr>
      <w:r>
        <w:rPr>
          <w:b w:val="false"/>
          <w:bCs w:val="false"/>
          <w:i w:val="false"/>
          <w:iCs w:val="false"/>
        </w:rPr>
        <w:t xml:space="preserve">Multi-source analyses (combine several datasets)</w:t>
      </w:r>
    </w:p>
    <w:p>
      <w:r>
        <w:rPr>
          <w:rFonts w:ascii="Courier New" w:cs="Courier New" w:eastAsia="Courier New" w:hAnsi="Courier New"/>
          <w:sz w:val="18"/>
          <w:szCs w:val="18"/>
        </w:rPr>
        <w:t xml:space="preserve">| **Tool** | **What it does** |</w:t>
      </w:r>
    </w:p>
    <w:p>
      <w:r>
        <w:rPr>
          <w:rFonts w:ascii="Courier New" w:cs="Courier New" w:eastAsia="Courier New" w:hAnsi="Courier New"/>
          <w:sz w:val="18"/>
          <w:szCs w:val="18"/>
        </w:rPr>
        <w:t xml:space="preserve">| --- | --- |</w:t>
      </w:r>
    </w:p>
    <w:p>
      <w:r>
        <w:rPr>
          <w:rFonts w:ascii="Courier New" w:cs="Courier New" w:eastAsia="Courier New" w:hAnsi="Courier New"/>
          <w:sz w:val="18"/>
          <w:szCs w:val="18"/>
        </w:rPr>
        <w:t xml:space="preserve">| **Multi-source insight** | Combines up to three data sources into a stakeholder-ready insight brief: headline finding, cross-platform evidence, implications, and a watch list. |</w:t>
      </w:r>
    </w:p>
    <w:p>
      <w:r>
        <w:rPr>
          <w:rFonts w:ascii="Courier New" w:cs="Courier New" w:eastAsia="Courier New" w:hAnsi="Courier New"/>
          <w:sz w:val="18"/>
          <w:szCs w:val="18"/>
        </w:rPr>
        <w:t xml:space="preserve">| **Weekly digest** | A Monday-morning brand digest: what moved last week, what to watch this week, and any signals needing action. |</w:t>
      </w:r>
    </w:p>
    <w:p>
      <w:r>
        <w:rPr>
          <w:rFonts w:ascii="Courier New" w:cs="Courier New" w:eastAsia="Courier New" w:hAnsi="Courier New"/>
          <w:sz w:val="18"/>
          <w:szCs w:val="18"/>
        </w:rPr>
        <w:t xml:space="preserve">| **Competitor pulse** | Analyses conversation around a competitor brand and surfaces their wins, weaknesses, and the opportunities they create for you. |</w:t>
      </w:r>
    </w:p>
    <w:p>
      <w:r>
        <w:rPr>
          <w:rFonts w:ascii="Courier New" w:cs="Courier New" w:eastAsia="Courier New" w:hAnsi="Courier New"/>
          <w:sz w:val="18"/>
          <w:szCs w:val="18"/>
        </w:rPr>
        <w:t xml:space="preserve">| **Theme extraction** | Pulls the top 5–7 conversation themes from one or more datasets — what audiences are actually talking about. |</w:t>
      </w:r>
    </w:p>
    <w:p>
      <w:r>
        <w:rPr>
          <w:rFonts w:ascii="Courier New" w:cs="Courier New" w:eastAsia="Courier New" w:hAnsi="Courier New"/>
          <w:sz w:val="18"/>
          <w:szCs w:val="18"/>
        </w:rPr>
        <w:t xml:space="preserve">| **Campaign performance** | Reads how a named campaign is landing socially: reach, sentiment, audience reaction, and what is and isn't working. |</w:t>
      </w:r>
    </w:p>
    <w:p>
      <w:r>
        <w:rPr>
          <w:rFonts w:ascii="Courier New" w:cs="Courier New" w:eastAsia="Courier New" w:hAnsi="Courier New"/>
          <w:sz w:val="18"/>
          <w:szCs w:val="18"/>
        </w:rPr>
        <w:t xml:space="preserve">| **Hypothesis testing** | Test a belief against the data. State a hypothesis about your brand, audience, or market and Klariti returns a verdict — supported, contradicted, or inconclusive — with evidence on both sides, the gaps the data can't fill, and a recommended next step. Accepts several datasets (and multiple files per slot). |</w:t>
      </w:r>
    </w:p>
    <w:p>
      <w:r>
        <w:rPr>
          <w:rFonts w:ascii="Courier New" w:cs="Courier New" w:eastAsia="Courier New" w:hAnsi="Courier New"/>
          <w:sz w:val="18"/>
          <w:szCs w:val="18"/>
        </w:rPr>
        <w:t xml:space="preserve">| **Executive summary** | A clean, jargon-free one-page brief for VP and C-suite stakeholders who need the picture fast. |</w:t>
      </w:r>
    </w:p>
    <w:p>
      <w:pPr>
        <w:pStyle w:val="Heading2"/>
      </w:pPr>
      <w:r>
        <w:rPr>
          <w:b w:val="false"/>
          <w:bCs w:val="false"/>
          <w:i w:val="false"/>
          <w:iCs w:val="false"/>
        </w:rPr>
        <w:t xml:space="preserve">Multi-step chains (deeper, sequential analysis)</w:t>
      </w:r>
    </w:p>
    <w:p>
      <w:pPr>
        <w:spacing w:after="160"/>
      </w:pPr>
      <w:r>
        <w:rPr>
          <w:b w:val="false"/>
          <w:bCs w:val="false"/>
          <w:i w:val="false"/>
          <w:iCs w:val="false"/>
        </w:rPr>
        <w:t xml:space="preserve">These run as a sequence of steps where each builds on the previous one — more thorough than a single pass.</w:t>
      </w:r>
    </w:p>
    <w:p>
      <w:r>
        <w:rPr>
          <w:rFonts w:ascii="Courier New" w:cs="Courier New" w:eastAsia="Courier New" w:hAnsi="Courier New"/>
          <w:sz w:val="18"/>
          <w:szCs w:val="18"/>
        </w:rPr>
        <w:t xml:space="preserve">| **Tool** | **What it does** |</w:t>
      </w:r>
    </w:p>
    <w:p>
      <w:r>
        <w:rPr>
          <w:rFonts w:ascii="Courier New" w:cs="Courier New" w:eastAsia="Courier New" w:hAnsi="Courier New"/>
          <w:sz w:val="18"/>
          <w:szCs w:val="18"/>
        </w:rPr>
        <w:t xml:space="preserve">| --- | --- |</w:t>
      </w:r>
    </w:p>
    <w:p>
      <w:r>
        <w:rPr>
          <w:rFonts w:ascii="Courier New" w:cs="Courier New" w:eastAsia="Courier New" w:hAnsi="Courier New"/>
          <w:sz w:val="18"/>
          <w:szCs w:val="18"/>
        </w:rPr>
        <w:t xml:space="preserve">| **Crisis response** | A three-step crisis workflow: triage the signal, analyse its impact, then draft a CMO-ready response. Each step feeds the next. |</w:t>
      </w:r>
    </w:p>
    <w:p>
      <w:r>
        <w:rPr>
          <w:rFonts w:ascii="Courier New" w:cs="Courier New" w:eastAsia="Courier New" w:hAnsi="Courier New"/>
          <w:sz w:val="18"/>
          <w:szCs w:val="18"/>
        </w:rPr>
        <w:t xml:space="preserve">| **Report builder** | The deepest path — a five-step report chain (survey, theme extraction, interrogation, prioritisation, final report) over an enriched data digest that preserves verbatim community voice. Upload one large dataset, or compare distinct sources across up to three slots. |</w:t>
      </w:r>
    </w:p>
    <w:p>
      <w:pPr>
        <w:pStyle w:val="Heading1"/>
      </w:pPr>
      <w:r>
        <w:rPr>
          <w:b w:val="false"/>
          <w:bCs w:val="false"/>
          <w:i w:val="false"/>
          <w:iCs w:val="false"/>
        </w:rPr>
        <w:t xml:space="preserve">5. Making Analyses Brand-Aware</w:t>
      </w:r>
    </w:p>
    <w:p>
      <w:pPr>
        <w:spacing w:after="160"/>
      </w:pPr>
      <w:r>
        <w:rPr>
          <w:b w:val="false"/>
          <w:bCs w:val="false"/>
          <w:i w:val="false"/>
          <w:iCs w:val="false"/>
        </w:rPr>
        <w:t xml:space="preserve">The portal produces sharper, more relevant output when it understands the brand behind the data. That's what the Strategy Brief Upload page is for.</w:t>
      </w:r>
    </w:p>
    <w:p>
      <w:pPr>
        <w:pStyle w:val="Heading2"/>
      </w:pPr>
      <w:r>
        <w:rPr>
          <w:b w:val="false"/>
          <w:bCs w:val="false"/>
          <w:i w:val="false"/>
          <w:iCs w:val="false"/>
        </w:rPr>
        <w:t xml:space="preserve">Strategy briefs</w:t>
      </w:r>
    </w:p>
    <w:p>
      <w:pPr>
        <w:spacing w:after="160"/>
      </w:pPr>
      <w:r>
        <w:rPr>
          <w:b w:val="false"/>
          <w:bCs w:val="false"/>
          <w:i w:val="false"/>
          <w:iCs w:val="false"/>
        </w:rPr>
        <w:t xml:space="preserve">Upload a brand's strategy document and the portal distills it into a concise profile — overview, objectives, tone, priority audiences, sensitivities, and active campaigns. Once a brief is saved and enabled, every analysis you run for that brand quietly takes it into account, so outputs reflect the brand's actual priorities and avoid its sensitivities.</w:t>
      </w:r>
    </w:p>
    <w:p>
      <w:pPr>
        <w:pStyle w:val="Heading2"/>
      </w:pPr>
      <w:r>
        <w:rPr>
          <w:b w:val="false"/>
          <w:bCs w:val="false"/>
          <w:i w:val="false"/>
          <w:iCs w:val="false"/>
        </w:rPr>
        <w:t xml:space="preserve">Multiple named briefs per brand</w:t>
      </w:r>
    </w:p>
    <w:p>
      <w:pPr>
        <w:spacing w:after="160"/>
      </w:pPr>
      <w:r>
        <w:rPr>
          <w:b w:val="false"/>
          <w:bCs w:val="false"/>
          <w:i w:val="false"/>
          <w:iCs w:val="false"/>
        </w:rPr>
        <w:t xml:space="preserve">A brand can hold more than one named brief — for example a </w:t>
      </w:r>
      <w:r>
        <w:rPr>
          <w:b w:val="false"/>
          <w:bCs w:val="false"/>
          <w:i/>
          <w:iCs/>
        </w:rPr>
        <w:t xml:space="preserve">Default</w:t>
      </w:r>
      <w:r>
        <w:rPr>
          <w:b w:val="false"/>
          <w:bCs w:val="false"/>
          <w:i w:val="false"/>
          <w:iCs w:val="false"/>
        </w:rPr>
        <w:t xml:space="preserve">, a </w:t>
      </w:r>
      <w:r>
        <w:rPr>
          <w:b w:val="false"/>
          <w:bCs w:val="false"/>
          <w:i/>
          <w:iCs/>
        </w:rPr>
        <w:t xml:space="preserve">Crisis</w:t>
      </w:r>
      <w:r>
        <w:rPr>
          <w:b w:val="false"/>
          <w:bCs w:val="false"/>
          <w:i w:val="false"/>
          <w:iCs w:val="false"/>
        </w:rPr>
        <w:t xml:space="preserve">, and a </w:t>
      </w:r>
      <w:r>
        <w:rPr>
          <w:b w:val="false"/>
          <w:bCs w:val="false"/>
          <w:i/>
          <w:iCs/>
        </w:rPr>
        <w:t xml:space="preserve">Discovery</w:t>
      </w:r>
      <w:r>
        <w:rPr>
          <w:b w:val="false"/>
          <w:bCs w:val="false"/>
          <w:i w:val="false"/>
          <w:iCs w:val="false"/>
        </w:rPr>
        <w:t xml:space="preserve"> brief, each framing analysis differently. Create a new one with </w:t>
      </w:r>
      <w:r>
        <w:rPr>
          <w:b/>
          <w:bCs/>
          <w:i w:val="false"/>
          <w:iCs w:val="false"/>
        </w:rPr>
        <w:t xml:space="preserve">New brief</w:t>
      </w:r>
      <w:r>
        <w:rPr>
          <w:b w:val="false"/>
          <w:bCs w:val="false"/>
          <w:i w:val="false"/>
          <w:iCs w:val="false"/>
        </w:rPr>
        <w:t xml:space="preserve"> on the Strategy Brief Upload page.</w:t>
      </w:r>
    </w:p>
    <w:p>
      <w:pPr>
        <w:spacing w:after="160"/>
      </w:pPr>
      <w:r>
        <w:rPr>
          <w:b w:val="false"/>
          <w:bCs w:val="false"/>
          <w:i w:val="false"/>
          <w:iCs w:val="false"/>
        </w:rPr>
        <w:t xml:space="preserve">When a brand has more than one brief, a small brief selector appears next to the brand context on the run screen, so you can choose which brief frames a given run. If a brand has only the one brief, there's nothing to choose and the selector stays hidden.</w:t>
      </w:r>
    </w:p>
    <w:p>
      <w:pPr>
        <w:spacing w:after="160"/>
      </w:pPr>
      <w:r>
        <w:rPr>
          <w:b w:val="false"/>
          <w:bCs w:val="false"/>
          <w:i w:val="false"/>
          <w:iCs w:val="false"/>
        </w:rPr>
        <w:t xml:space="preserve">Projects work the same way, so exploratory work can carry its own named briefs independent of any single brand.</w:t>
      </w:r>
    </w:p>
    <w:p>
      <w:pPr>
        <w:pStyle w:val="Heading1"/>
      </w:pPr>
      <w:r>
        <w:rPr>
          <w:b w:val="false"/>
          <w:bCs w:val="false"/>
          <w:i w:val="false"/>
          <w:iCs w:val="false"/>
        </w:rPr>
        <w:t xml:space="preserve">6. Exporting &amp; Sharing Outputs</w:t>
      </w:r>
    </w:p>
    <w:p>
      <w:pPr>
        <w:spacing w:after="160"/>
      </w:pPr>
      <w:r>
        <w:rPr>
          <w:b w:val="false"/>
          <w:bCs w:val="false"/>
          <w:i w:val="false"/>
          <w:iCs w:val="false"/>
        </w:rPr>
        <w:t xml:space="preserve">Every analysis output can leave the portal in the format your stakeholders expect:</w:t>
      </w:r>
    </w:p>
    <w:p>
      <w:pPr>
        <w:pStyle w:val="ListParagraph"/>
        <w:numPr>
          <w:ilvl w:val="0"/>
          <w:numId w:val="2"/>
        </w:numPr>
      </w:pPr>
      <w:r>
        <w:rPr>
          <w:b/>
          <w:bCs/>
          <w:i w:val="false"/>
          <w:iCs w:val="false"/>
        </w:rPr>
        <w:t xml:space="preserve">Copy — </w:t>
      </w:r>
      <w:r>
        <w:rPr>
          <w:b w:val="false"/>
          <w:bCs w:val="false"/>
          <w:i w:val="false"/>
          <w:iCs w:val="false"/>
        </w:rPr>
        <w:t xml:space="preserve">lift the text straight into an email, doc, or chat.</w:t>
      </w:r>
    </w:p>
    <w:p>
      <w:pPr>
        <w:pStyle w:val="ListParagraph"/>
        <w:numPr>
          <w:ilvl w:val="0"/>
          <w:numId w:val="2"/>
        </w:numPr>
      </w:pPr>
      <w:r>
        <w:rPr>
          <w:b/>
          <w:bCs/>
          <w:i w:val="false"/>
          <w:iCs w:val="false"/>
        </w:rPr>
        <w:t xml:space="preserve">Download PPTX — </w:t>
      </w:r>
      <w:r>
        <w:rPr>
          <w:b w:val="false"/>
          <w:bCs w:val="false"/>
          <w:i w:val="false"/>
          <w:iCs w:val="false"/>
        </w:rPr>
        <w:t xml:space="preserve">a branded PowerPoint, ready to present or drop into a larger deck. Use the template picker next to the button to choose how it looks (see below).</w:t>
      </w:r>
    </w:p>
    <w:p>
      <w:pPr>
        <w:pStyle w:val="ListParagraph"/>
        <w:numPr>
          <w:ilvl w:val="0"/>
          <w:numId w:val="2"/>
        </w:numPr>
      </w:pPr>
      <w:r>
        <w:rPr>
          <w:b/>
          <w:bCs/>
          <w:i w:val="false"/>
          <w:iCs w:val="false"/>
        </w:rPr>
        <w:t xml:space="preserve">Download PDF — </w:t>
      </w:r>
      <w:r>
        <w:rPr>
          <w:b w:val="false"/>
          <w:bCs w:val="false"/>
          <w:i w:val="false"/>
          <w:iCs w:val="false"/>
        </w:rPr>
        <w:t xml:space="preserve">a clean, shareable document. It opens with a branded Convosphere cover page (swirl design, your report title, brand and date), so the PDF matches the same look as the Convosphere template deck.</w:t>
      </w:r>
    </w:p>
    <w:p>
      <w:pPr>
        <w:pStyle w:val="ListParagraph"/>
        <w:numPr>
          <w:ilvl w:val="0"/>
          <w:numId w:val="2"/>
        </w:numPr>
      </w:pPr>
      <w:r>
        <w:rPr>
          <w:b/>
          <w:bCs/>
          <w:i w:val="false"/>
          <w:iCs w:val="false"/>
        </w:rPr>
        <w:t xml:space="preserve">Download source data (CSV) — </w:t>
      </w:r>
      <w:r>
        <w:rPr>
          <w:b w:val="false"/>
          <w:bCs w:val="false"/>
          <w:i w:val="false"/>
          <w:iCs w:val="false"/>
        </w:rPr>
        <w:t xml:space="preserve">the underlying data behind the analysis, for your own records or further work.</w:t>
      </w:r>
    </w:p>
    <w:p>
      <w:pPr>
        <w:spacing w:after="160"/>
      </w:pPr>
      <w:r>
        <w:rPr>
          <w:b w:val="false"/>
          <w:bCs w:val="false"/>
          <w:i w:val="false"/>
          <w:iCs w:val="false"/>
        </w:rPr>
        <w:t xml:space="preserve">Exports carry your organisation's branding (name, logo, footer) as configured for your workspace, so what you hand to stakeholders looks like it came from your team.</w:t>
      </w:r>
    </w:p>
    <w:p>
      <w:pPr>
        <w:pStyle w:val="Heading2"/>
      </w:pPr>
      <w:r>
        <w:rPr>
          <w:b w:val="false"/>
          <w:bCs w:val="false"/>
          <w:i w:val="false"/>
          <w:iCs w:val="false"/>
        </w:rPr>
        <w:t xml:space="preserve">Choosing a PowerPoint template</w:t>
      </w:r>
    </w:p>
    <w:p>
      <w:pPr>
        <w:spacing w:after="160"/>
      </w:pPr>
      <w:r>
        <w:rPr>
          <w:b w:val="false"/>
          <w:bCs w:val="false"/>
          <w:i w:val="false"/>
          <w:iCs w:val="false"/>
        </w:rPr>
        <w:t xml:space="preserve">Next to Download PPTX there is a small template picker with two choices:</w:t>
      </w:r>
    </w:p>
    <w:p>
      <w:pPr>
        <w:pStyle w:val="ListParagraph"/>
        <w:numPr>
          <w:ilvl w:val="0"/>
          <w:numId w:val="2"/>
        </w:numPr>
      </w:pPr>
      <w:r>
        <w:rPr>
          <w:b/>
          <w:bCs/>
          <w:i w:val="false"/>
          <w:iCs w:val="false"/>
        </w:rPr>
        <w:t xml:space="preserve">Standard (navy) — </w:t>
      </w:r>
      <w:r>
        <w:rPr>
          <w:b w:val="false"/>
          <w:bCs w:val="false"/>
          <w:i w:val="false"/>
          <w:iCs w:val="false"/>
        </w:rPr>
        <w:t xml:space="preserve">a clean, navy-and-teal deck generated for your report. Good for a quick, self-contained export.</w:t>
      </w:r>
    </w:p>
    <w:p>
      <w:pPr>
        <w:pStyle w:val="ListParagraph"/>
        <w:numPr>
          <w:ilvl w:val="0"/>
          <w:numId w:val="2"/>
        </w:numPr>
      </w:pPr>
      <w:r>
        <w:rPr>
          <w:b/>
          <w:bCs/>
          <w:i w:val="false"/>
          <w:iCs w:val="false"/>
        </w:rPr>
        <w:t xml:space="preserve">Convosphere template — </w:t>
      </w:r>
      <w:r>
        <w:rPr>
          <w:b w:val="false"/>
          <w:bCs w:val="false"/>
          <w:i w:val="false"/>
          <w:iCs w:val="false"/>
        </w:rPr>
        <w:t xml:space="preserve">your report dropped into the real Convosphere capabilities deck. You get the branded swirl cover with your report title, a slide for each section of the analysis in the Convosphere style, and the standard Convosphere credentials slides (languages, tools, services, methodology, case studies) following as an appendix. Use this when you want the export to look like a polished Convosphere deliverable.</w:t>
      </w:r>
    </w:p>
    <w:p>
      <w:pPr>
        <w:spacing w:after="160"/>
      </w:pPr>
      <w:r>
        <w:rPr>
          <w:b w:val="false"/>
          <w:bCs w:val="false"/>
          <w:i w:val="false"/>
          <w:iCs w:val="false"/>
        </w:rPr>
        <w:t xml:space="preserve">Tip: the Convosphere template puts each section of your report on its own slide. If a single section is very long, that slide can get dense — so for the cleanest decks, prefer reports with clear, reasonably sized sections (most analysis tools already produce these).</w:t>
      </w:r>
    </w:p>
    <w:p>
      <w:pPr>
        <w:spacing w:after="160"/>
      </w:pPr>
      <w:r>
        <w:rPr>
          <w:b w:val="false"/>
          <w:bCs w:val="false"/>
          <w:i w:val="false"/>
          <w:iCs w:val="false"/>
        </w:rPr>
        <w:t xml:space="preserve">However you export, the branding stays consistent: the Convosphere template deck and the PDF now share the same cover look (swirl design, navy and teal, your title and date), so a PDF and a PowerPoint of the same report look like they belong together.</w:t>
      </w:r>
    </w:p>
    <w:p>
      <w:pPr>
        <w:pStyle w:val="Heading2"/>
      </w:pPr>
      <w:r>
        <w:rPr>
          <w:b w:val="false"/>
          <w:bCs w:val="false"/>
          <w:i w:val="false"/>
          <w:iCs w:val="false"/>
        </w:rPr>
        <w:t xml:space="preserve">Charts and visualizations</w:t>
      </w:r>
    </w:p>
    <w:p>
      <w:pPr>
        <w:spacing w:after="160"/>
      </w:pPr>
      <w:r>
        <w:rPr>
          <w:b w:val="false"/>
          <w:bCs w:val="false"/>
          <w:i w:val="false"/>
          <w:iCs w:val="false"/>
        </w:rPr>
        <w:t xml:space="preserve">When your data supports it, the portal builds charts from your whole dataset — not just a sample — and shows them on the Visualize tab alongside the written analysis. Depending on the data, you may see a sentiment breakdown, a platform or source split, top themes, engagement totals, and post volume over time.</w:t>
      </w:r>
    </w:p>
    <w:p>
      <w:pPr>
        <w:spacing w:after="160"/>
      </w:pPr>
      <w:r>
        <w:rPr>
          <w:b w:val="false"/>
          <w:bCs w:val="false"/>
          <w:i w:val="false"/>
          <w:iCs w:val="false"/>
        </w:rPr>
        <w:t xml:space="preserve">These charts are included automatically in your PowerPoint export (Standard navy template): each chart becomes its own slide, as an editable PowerPoint chart you can restyle or recolour in the deck. Charts are drawn from the same figures as the written report, so the two always agree.</w:t>
      </w:r>
    </w:p>
    <w:p>
      <w:pPr>
        <w:spacing w:after="160"/>
      </w:pPr>
      <w:r>
        <w:rPr>
          <w:b w:val="false"/>
          <w:bCs w:val="false"/>
          <w:i w:val="false"/>
          <w:iCs w:val="false"/>
        </w:rPr>
        <w:t xml:space="preserve">If you load more than one data source, the export also includes comparison charts — the same source-versus-source views you see on screen (platform mix, engagement, and volume over time), with each source as its own series. Comparison charts are included when you export straight after running the analysis.</w:t>
      </w:r>
    </w:p>
    <w:p>
      <w:pPr>
        <w:spacing w:after="160"/>
      </w:pPr>
      <w:r>
        <w:rPr>
          <w:b w:val="false"/>
          <w:bCs w:val="false"/>
          <w:i w:val="false"/>
          <w:iCs w:val="false"/>
        </w:rPr>
        <w:t xml:space="preserve">A note on what appears: charts only show where the data provides them. A dataset with no sentiment scores will not show a sentiment chart, and some data types (for example a simple text export) may show fewer charts than a full social dataset. This is expected — the portal only charts what it can stand behind.</w:t>
      </w:r>
    </w:p>
    <w:p>
      <w:pPr>
        <w:pStyle w:val="Heading1"/>
      </w:pPr>
      <w:r>
        <w:rPr>
          <w:b w:val="false"/>
          <w:bCs w:val="false"/>
          <w:i w:val="false"/>
          <w:iCs w:val="false"/>
        </w:rPr>
        <w:t xml:space="preserve">7. Tracking What Gets Implemented</w:t>
      </w:r>
    </w:p>
    <w:p>
      <w:pPr>
        <w:spacing w:after="160"/>
      </w:pPr>
      <w:r>
        <w:rPr>
          <w:b w:val="false"/>
          <w:bCs w:val="false"/>
          <w:i w:val="false"/>
          <w:iCs w:val="false"/>
        </w:rPr>
        <w:t xml:space="preserve">The Insights tracker turns a report into something you can follow over time. It captures the key findings and recommendations from an analysis and tracks each one as it moves through the client — from first proposed, to shared, to accepted, implemented, or declined. It answers the question a report alone can't: not just "what did we find," but "what did the client actually do about it."</w:t>
      </w:r>
    </w:p>
    <w:p>
      <w:pPr>
        <w:pStyle w:val="Heading2"/>
      </w:pPr>
      <w:r>
        <w:rPr>
          <w:b w:val="false"/>
          <w:bCs w:val="false"/>
          <w:i w:val="false"/>
          <w:iCs w:val="false"/>
        </w:rPr>
        <w:t xml:space="preserve">Getting insights out of a report</w:t>
      </w:r>
    </w:p>
    <w:p>
      <w:pPr>
        <w:spacing w:after="160"/>
      </w:pPr>
      <w:r>
        <w:rPr>
          <w:b w:val="false"/>
          <w:bCs w:val="false"/>
          <w:i w:val="false"/>
          <w:iCs w:val="false"/>
        </w:rPr>
        <w:t xml:space="preserve">On any finished report, click "Suggest insights." The portal reads the report and drafts a short list of trackable insights, each paired with its recommendation. You review them in a pop-up: edit the wording, adjust the priority, untick any you don't want, and save the rest. Nothing is added to the tracker until you save — the drafts are always yours to change first. You can also add an insight by hand with "+ Add insight," and re-run "Suggest insights" on a saved report at any time.</w:t>
      </w:r>
    </w:p>
    <w:p>
      <w:pPr>
        <w:pStyle w:val="Heading2"/>
      </w:pPr>
      <w:r>
        <w:rPr>
          <w:b w:val="false"/>
          <w:bCs w:val="false"/>
          <w:i w:val="false"/>
          <w:iCs w:val="false"/>
        </w:rPr>
        <w:t xml:space="preserve">Tracking status over time</w:t>
      </w:r>
    </w:p>
    <w:p>
      <w:pPr>
        <w:spacing w:after="160"/>
      </w:pPr>
      <w:r>
        <w:rPr>
          <w:b w:val="false"/>
          <w:bCs w:val="false"/>
          <w:i w:val="false"/>
          <w:iCs w:val="false"/>
        </w:rPr>
        <w:t xml:space="preserve">Each insight moves through five stages: Proposed, Shared, Accepted, Implemented, and Declined. Change an insight's status straight from the tracker as things develop, set its priority, note who owns it, and record the client's response. The tracker keeps a running summary at the top, including an implementation rate — of the insights the client has engaged with, the share they actually implemented.</w:t>
      </w:r>
    </w:p>
    <w:p>
      <w:pPr>
        <w:pStyle w:val="Heading2"/>
      </w:pPr>
      <w:r>
        <w:rPr>
          <w:b w:val="false"/>
          <w:bCs w:val="false"/>
          <w:i w:val="false"/>
          <w:iCs w:val="false"/>
        </w:rPr>
        <w:t xml:space="preserve">Finding your tracker</w:t>
      </w:r>
    </w:p>
    <w:p>
      <w:pPr>
        <w:spacing w:after="160"/>
      </w:pPr>
      <w:r>
        <w:rPr>
          <w:b w:val="false"/>
          <w:bCs w:val="false"/>
          <w:i w:val="false"/>
          <w:iCs w:val="false"/>
        </w:rPr>
        <w:t xml:space="preserve">Open "Insights tracker" from the sidebar to see everything, and filter by brand, by project, or by status. Your dashboard also shows a personal card — the insights you created or own — with your counts and implementation rate at a glance. And each brand's page shows its most recent insights, so the tracker is never more than a click away from where you're working.</w:t>
      </w:r>
    </w:p>
    <w:p>
      <w:pPr>
        <w:pStyle w:val="Heading1"/>
      </w:pPr>
      <w:r>
        <w:rPr>
          <w:b w:val="false"/>
          <w:bCs w:val="false"/>
          <w:i w:val="false"/>
          <w:iCs w:val="false"/>
        </w:rPr>
        <w:t xml:space="preserve">8. When You Need More — Commissioning Convosphere</w:t>
      </w:r>
    </w:p>
    <w:p>
      <w:pPr>
        <w:spacing w:after="160"/>
      </w:pPr>
      <w:r>
        <w:rPr>
          <w:b w:val="false"/>
          <w:bCs w:val="false"/>
          <w:i w:val="false"/>
          <w:iCs w:val="false"/>
        </w:rPr>
        <w:t xml:space="preserve">Some questions deserve a human analyst. When self-serve analysis isn't enough, the Convosphere section lets you bring the team in directly.</w:t>
      </w:r>
    </w:p>
    <w:p>
      <w:pPr>
        <w:pStyle w:val="ListParagraph"/>
        <w:numPr>
          <w:ilvl w:val="0"/>
          <w:numId w:val="2"/>
        </w:numPr>
      </w:pPr>
      <w:r>
        <w:rPr>
          <w:b/>
          <w:bCs/>
          <w:i w:val="false"/>
          <w:iCs w:val="false"/>
        </w:rPr>
        <w:t xml:space="preserve">Request a report — </w:t>
      </w:r>
      <w:r>
        <w:rPr>
          <w:b w:val="false"/>
          <w:bCs w:val="false"/>
          <w:i w:val="false"/>
          <w:iCs w:val="false"/>
        </w:rPr>
        <w:t xml:space="preserve">brief the Convosphere team on a bespoke piece of analysis you'd like them to produce.</w:t>
      </w:r>
    </w:p>
    <w:p>
      <w:pPr>
        <w:pStyle w:val="ListParagraph"/>
        <w:numPr>
          <w:ilvl w:val="0"/>
          <w:numId w:val="2"/>
        </w:numPr>
      </w:pPr>
      <w:r>
        <w:rPr>
          <w:b/>
          <w:bCs/>
          <w:i w:val="false"/>
          <w:iCs w:val="false"/>
        </w:rPr>
        <w:t xml:space="preserve">Submitted briefs — </w:t>
      </w:r>
      <w:r>
        <w:rPr>
          <w:b w:val="false"/>
          <w:bCs w:val="false"/>
          <w:i w:val="false"/>
          <w:iCs w:val="false"/>
        </w:rPr>
        <w:t xml:space="preserve">track the requests you've made and their status.</w:t>
      </w:r>
    </w:p>
    <w:p>
      <w:pPr>
        <w:pStyle w:val="ListParagraph"/>
        <w:numPr>
          <w:ilvl w:val="0"/>
          <w:numId w:val="2"/>
        </w:numPr>
      </w:pPr>
      <w:r>
        <w:rPr>
          <w:b/>
          <w:bCs/>
          <w:i w:val="false"/>
          <w:iCs w:val="false"/>
        </w:rPr>
        <w:t xml:space="preserve">Email Portal Support — </w:t>
      </w:r>
      <w:r>
        <w:rPr>
          <w:b w:val="false"/>
          <w:bCs w:val="false"/>
          <w:i w:val="false"/>
          <w:iCs w:val="false"/>
        </w:rPr>
        <w:t xml:space="preserve">reach the team for access issues, questions, or help getting the most from the portal.</w:t>
      </w:r>
    </w:p>
    <w:p>
      <w:pPr>
        <w:pStyle w:val="Heading1"/>
      </w:pPr>
      <w:r>
        <w:rPr>
          <w:b w:val="false"/>
          <w:bCs w:val="false"/>
          <w:i w:val="false"/>
          <w:iCs w:val="false"/>
        </w:rPr>
        <w:t xml:space="preserve">9. Getting the Best Results</w:t>
      </w:r>
    </w:p>
    <w:p>
      <w:pPr>
        <w:pStyle w:val="ListParagraph"/>
        <w:numPr>
          <w:ilvl w:val="0"/>
          <w:numId w:val="2"/>
        </w:numPr>
      </w:pPr>
      <w:r>
        <w:rPr>
          <w:b/>
          <w:bCs/>
          <w:i w:val="false"/>
          <w:iCs w:val="false"/>
        </w:rPr>
        <w:t xml:space="preserve">Clean first. </w:t>
      </w:r>
      <w:r>
        <w:rPr>
          <w:b w:val="false"/>
          <w:bCs w:val="false"/>
          <w:i w:val="false"/>
          <w:iCs w:val="false"/>
        </w:rPr>
        <w:t xml:space="preserve">Run the Data quality &amp; noise filter on a raw export before analysing — it meaningfully improves every downstream result.</w:t>
      </w:r>
    </w:p>
    <w:p>
      <w:pPr>
        <w:pStyle w:val="ListParagraph"/>
        <w:numPr>
          <w:ilvl w:val="0"/>
          <w:numId w:val="2"/>
        </w:numPr>
      </w:pPr>
      <w:r>
        <w:rPr>
          <w:b/>
          <w:bCs/>
          <w:i w:val="false"/>
          <w:iCs w:val="false"/>
        </w:rPr>
        <w:t xml:space="preserve">Give enough data. </w:t>
      </w:r>
      <w:r>
        <w:rPr>
          <w:b w:val="false"/>
          <w:bCs w:val="false"/>
          <w:i w:val="false"/>
          <w:iCs w:val="false"/>
        </w:rPr>
        <w:t xml:space="preserve">Trend and velocity tools work best with 7–14 days of data so they can compare across the window.</w:t>
      </w:r>
    </w:p>
    <w:p>
      <w:pPr>
        <w:pStyle w:val="ListParagraph"/>
        <w:numPr>
          <w:ilvl w:val="0"/>
          <w:numId w:val="2"/>
        </w:numPr>
      </w:pPr>
      <w:r>
        <w:rPr>
          <w:b/>
          <w:bCs/>
          <w:i w:val="false"/>
          <w:iCs w:val="false"/>
        </w:rPr>
        <w:t xml:space="preserve">Set the brand brief. </w:t>
      </w:r>
      <w:r>
        <w:rPr>
          <w:b w:val="false"/>
          <w:bCs w:val="false"/>
          <w:i w:val="false"/>
          <w:iCs w:val="false"/>
        </w:rPr>
        <w:t xml:space="preserve">A saved strategy brief makes outputs noticeably more relevant and on-tone.</w:t>
      </w:r>
    </w:p>
    <w:p>
      <w:pPr>
        <w:pStyle w:val="ListParagraph"/>
        <w:numPr>
          <w:ilvl w:val="0"/>
          <w:numId w:val="2"/>
        </w:numPr>
      </w:pPr>
      <w:r>
        <w:rPr>
          <w:b/>
          <w:bCs/>
          <w:i w:val="false"/>
          <w:iCs w:val="false"/>
        </w:rPr>
        <w:t xml:space="preserve">Match the tool to the audience. </w:t>
      </w:r>
      <w:r>
        <w:rPr>
          <w:b w:val="false"/>
          <w:bCs w:val="false"/>
          <w:i w:val="false"/>
          <w:iCs w:val="false"/>
        </w:rPr>
        <w:t xml:space="preserve">Executive summary for leadership; Report builder for a deep, evidence-led read; Triage and Escalation memo when speed matters.</w:t>
      </w:r>
    </w:p>
    <w:p>
      <w:pPr>
        <w:pStyle w:val="ListParagraph"/>
        <w:numPr>
          <w:ilvl w:val="0"/>
          <w:numId w:val="2"/>
        </w:numPr>
      </w:pPr>
      <w:r>
        <w:rPr>
          <w:b/>
          <w:bCs/>
          <w:i w:val="false"/>
          <w:iCs w:val="false"/>
        </w:rPr>
        <w:t xml:space="preserve">Save reusable datasets. </w:t>
      </w:r>
      <w:r>
        <w:rPr>
          <w:b w:val="false"/>
          <w:bCs w:val="false"/>
          <w:i w:val="false"/>
          <w:iCs w:val="false"/>
        </w:rPr>
        <w:t xml:space="preserve">If you'll analyse the same export several ways, save it once to the Data library.</w:t>
      </w:r>
    </w:p>
    <w:p>
      <w:pPr>
        <w:pStyle w:val="ListParagraph"/>
        <w:numPr>
          <w:ilvl w:val="0"/>
          <w:numId w:val="2"/>
        </w:numPr>
      </w:pPr>
      <w:r>
        <w:rPr>
          <w:b/>
          <w:bCs/>
          <w:i w:val="false"/>
          <w:iCs w:val="false"/>
        </w:rPr>
        <w:t xml:space="preserve">Trust the grounding. </w:t>
      </w:r>
      <w:r>
        <w:rPr>
          <w:b w:val="false"/>
          <w:bCs w:val="false"/>
          <w:i w:val="false"/>
          <w:iCs w:val="false"/>
        </w:rPr>
        <w:t xml:space="preserve">If an output says the data doesn't show something, that's by design — it won't invent figures to fill a gap. Supply more data if you need the answer.</w:t>
      </w:r>
    </w:p>
    <w:p>
      <w:pPr>
        <w:spacing w:after="160"/>
      </w:pPr>
      <w:r>
        <w:rPr>
          <w:b/>
          <w:bCs/>
          <w:i w:val="false"/>
          <w:iCs w:val="false"/>
        </w:rPr>
        <w:t xml:space="preserve">Questions, access, or feedback? </w:t>
      </w:r>
      <w:r>
        <w:rPr>
          <w:b w:val="false"/>
          <w:bCs w:val="false"/>
          <w:i w:val="false"/>
          <w:iCs w:val="false"/>
        </w:rPr>
        <w:t xml:space="preserve">Use Email Portal Support in the sidebar, or contact your Convosphere account team.</w:t>
      </w:r>
    </w:p>
    <w:p>
      <w:pPr>
        <w:spacing w:after="160"/>
      </w:pPr>
      <w:r>
        <w:rPr>
          <w:b w:val="false"/>
          <w:bCs w:val="false"/>
          <w:i w:val="false"/>
          <w:iCs w:val="false"/>
        </w:rPr>
        <w:t xml:space="preserve">User Guide · Page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0B1F35"/>
      <w:sz w:val="30"/>
      <w:szCs w:val="30"/>
    </w:rPr>
  </w:style>
  <w:style w:type="paragraph" w:styleId="Heading2">
    <w:name w:val="Heading 2"/>
    <w:basedOn w:val="Normal"/>
    <w:next w:val="Normal"/>
    <w:qFormat/>
    <w:pPr>
      <w:spacing w:after="160" w:before="240"/>
      <w:outlineLvl w:val="1"/>
    </w:pPr>
    <w:rPr>
      <w:rFonts w:ascii="Arial" w:cs="Arial" w:eastAsia="Arial" w:hAnsi="Arial"/>
      <w:b/>
      <w:bCs/>
      <w:color w:val="0B1F35"/>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007a88"/>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2026-06-30T22:28:36.995Z</dcterms:created>
  <dcterms:modified xsi:type="dcterms:W3CDTF">2026-06-30T22:28:36.999Z</dcterms:modified>
</cp:coreProperties>
</file>

<file path=docProps/custom.xml><?xml version="1.0" encoding="utf-8"?>
<Properties xmlns="http://schemas.openxmlformats.org/officeDocument/2006/custom-properties" xmlns:vt="http://schemas.openxmlformats.org/officeDocument/2006/docPropsVTypes"/>
</file>